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447DFBF1" w:rsidP="556C443F" w:rsidRDefault="447DFBF1" w14:paraId="680FD58E" w14:textId="31AA6BA4">
      <w:pPr>
        <w:spacing w:before="0" w:beforeAutospacing="off" w:after="0" w:afterAutospacing="off" w:line="300" w:lineRule="auto"/>
      </w:pPr>
      <w:r w:rsidR="447DFBF1">
        <w:drawing>
          <wp:inline wp14:editId="5D11C04A" wp14:anchorId="08317460">
            <wp:extent cx="5486400" cy="1571625"/>
            <wp:effectExtent l="0" t="0" r="0" b="0"/>
            <wp:docPr id="1185711432" name="" title=""/>
            <wp:cNvGraphicFramePr>
              <a:graphicFrameLocks noChangeAspect="1"/>
            </wp:cNvGraphicFramePr>
            <a:graphic>
              <a:graphicData uri="http://schemas.openxmlformats.org/drawingml/2006/picture">
                <pic:pic>
                  <pic:nvPicPr>
                    <pic:cNvPr id="0" name=""/>
                    <pic:cNvPicPr/>
                  </pic:nvPicPr>
                  <pic:blipFill>
                    <a:blip r:embed="Rf2928ef9e49f4389">
                      <a:extLst>
                        <a:ext xmlns:a="http://schemas.openxmlformats.org/drawingml/2006/main" uri="{28A0092B-C50C-407E-A947-70E740481C1C}">
                          <a14:useLocalDpi val="0"/>
                        </a:ext>
                      </a:extLst>
                    </a:blip>
                    <a:stretch>
                      <a:fillRect/>
                    </a:stretch>
                  </pic:blipFill>
                  <pic:spPr>
                    <a:xfrm>
                      <a:off x="0" y="0"/>
                      <a:ext cx="5486400" cy="1571625"/>
                    </a:xfrm>
                    <a:prstGeom prst="rect">
                      <a:avLst/>
                    </a:prstGeom>
                  </pic:spPr>
                </pic:pic>
              </a:graphicData>
            </a:graphic>
          </wp:inline>
        </w:drawing>
      </w:r>
    </w:p>
    <w:p w:rsidR="505C185C" w:rsidP="556C443F" w:rsidRDefault="505C185C" w14:paraId="1451949A" w14:textId="60EC6860">
      <w:pPr>
        <w:spacing w:before="210" w:beforeAutospacing="off" w:after="210" w:afterAutospacing="off" w:line="300" w:lineRule="auto"/>
      </w:pPr>
      <w:r w:rsidR="505C185C">
        <w:drawing>
          <wp:inline wp14:editId="3EF2A4D2" wp14:anchorId="7FBB42CE">
            <wp:extent cx="1805111" cy="1198414"/>
            <wp:effectExtent l="0" t="0" r="0" b="0"/>
            <wp:docPr id="1062106266" name="" title=""/>
            <wp:cNvGraphicFramePr>
              <a:graphicFrameLocks noChangeAspect="1"/>
            </wp:cNvGraphicFramePr>
            <a:graphic>
              <a:graphicData uri="http://schemas.openxmlformats.org/drawingml/2006/picture">
                <pic:pic>
                  <pic:nvPicPr>
                    <pic:cNvPr id="0" name=""/>
                    <pic:cNvPicPr/>
                  </pic:nvPicPr>
                  <pic:blipFill>
                    <a:blip r:embed="R0488d1609a7842fc">
                      <a:extLst>
                        <a:ext xmlns:a="http://schemas.openxmlformats.org/drawingml/2006/main" uri="{28A0092B-C50C-407E-A947-70E740481C1C}">
                          <a14:useLocalDpi val="0"/>
                        </a:ext>
                      </a:extLst>
                    </a:blip>
                    <a:stretch>
                      <a:fillRect/>
                    </a:stretch>
                  </pic:blipFill>
                  <pic:spPr>
                    <a:xfrm>
                      <a:off x="0" y="0"/>
                      <a:ext cx="1805111" cy="1198414"/>
                    </a:xfrm>
                    <a:prstGeom prst="rect">
                      <a:avLst/>
                    </a:prstGeom>
                  </pic:spPr>
                </pic:pic>
              </a:graphicData>
            </a:graphic>
          </wp:inline>
        </w:drawing>
      </w:r>
    </w:p>
    <w:p w:rsidR="5F095408" w:rsidP="556C443F" w:rsidRDefault="5F095408" w14:paraId="4C66C9FF" w14:textId="59898A65">
      <w:pPr>
        <w:spacing w:before="210" w:beforeAutospacing="off" w:after="210" w:afterAutospacing="off" w:line="300" w:lineRule="auto"/>
        <w:rPr>
          <w:rFonts w:ascii="Calibri" w:hAnsi="Calibri" w:eastAsia="Calibri" w:cs="Calibri" w:asciiTheme="majorAscii" w:hAnsiTheme="majorAscii" w:eastAsiaTheme="majorAscii" w:cstheme="majorAscii"/>
          <w:b w:val="1"/>
          <w:bCs w:val="1"/>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Charging and Remissions Policy Statement 2025–2026</w:t>
      </w:r>
    </w:p>
    <w:p w:rsidR="5F095408" w:rsidP="556C443F" w:rsidRDefault="5F095408" w14:paraId="3B595681" w14:textId="54CA16BE">
      <w:pPr>
        <w:spacing w:before="210" w:beforeAutospacing="off" w:after="210" w:afterAutospacing="off" w:line="300" w:lineRule="auto"/>
        <w:rPr>
          <w:rFonts w:ascii="Calibri" w:hAnsi="Calibri" w:eastAsia="Calibri" w:cs="Calibri" w:asciiTheme="majorAscii" w:hAnsiTheme="majorAscii" w:eastAsiaTheme="majorAscii" w:cstheme="majorAscii"/>
          <w:b w:val="1"/>
          <w:bCs w:val="1"/>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Adderley Nursery School</w:t>
      </w:r>
    </w:p>
    <w:p w:rsidR="5F095408" w:rsidP="556C443F" w:rsidRDefault="5F095408" w14:paraId="3A2ACBAA" w14:textId="10CB7EB2">
      <w:pPr>
        <w:spacing w:before="21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The Birmingham Federation of Maintained Nursery Schools follows the policies and procedures of Birmingham City Council, including the BCC Financial Procedures Manual and Birmingham Safeguarding Children Partnership (BSCP), which includes the Government’s Prevent Strategy.</w:t>
      </w:r>
    </w:p>
    <w:p w:rsidR="5F095408" w:rsidP="556C443F" w:rsidRDefault="5F095408" w14:paraId="3EFD76D6" w14:textId="1D6EC0C0">
      <w:pPr>
        <w:spacing w:before="210" w:beforeAutospacing="off" w:after="210" w:afterAutospacing="off" w:line="300" w:lineRule="auto"/>
        <w:rPr>
          <w:rFonts w:ascii="Calibri" w:hAnsi="Calibri" w:eastAsia="Calibri" w:cs="Calibri" w:asciiTheme="majorAscii" w:hAnsiTheme="majorAscii" w:eastAsiaTheme="majorAscii" w:cstheme="majorAscii"/>
          <w:b w:val="1"/>
          <w:bCs w:val="1"/>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Date agreed by the Governing Body:</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 xml:space="preserve"> </w:t>
      </w:r>
      <w:r>
        <w:br/>
      </w: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Sean Delaney, Chair of Governing Body</w:t>
      </w:r>
    </w:p>
    <w:p w:rsidR="556C443F" w:rsidP="556C443F" w:rsidRDefault="556C443F" w14:paraId="6E6B1389" w14:textId="5B640B6B">
      <w:pPr>
        <w:spacing w:before="0" w:beforeAutospacing="off" w:after="0" w:afterAutospacing="off" w:line="300" w:lineRule="auto"/>
        <w:rPr>
          <w:rFonts w:ascii="Calibri" w:hAnsi="Calibri" w:eastAsia="Calibri" w:cs="Calibri" w:asciiTheme="majorAscii" w:hAnsiTheme="majorAscii" w:eastAsiaTheme="majorAscii" w:cstheme="majorAscii"/>
          <w:sz w:val="24"/>
          <w:szCs w:val="24"/>
        </w:rPr>
      </w:pPr>
    </w:p>
    <w:p w:rsidR="5F095408" w:rsidP="556C443F" w:rsidRDefault="5F095408" w14:paraId="5CB8FE2A" w14:textId="560B4AD1">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t>Contents</w:t>
      </w:r>
    </w:p>
    <w:p w:rsidR="5F095408" w:rsidP="556C443F" w:rsidRDefault="5F095408" w14:paraId="14CD0B69" w14:textId="674131C6">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Rationale</w:t>
      </w:r>
    </w:p>
    <w:p w:rsidR="5F095408" w:rsidP="556C443F" w:rsidRDefault="5F095408" w14:paraId="45447DE7" w14:textId="03778AF8">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Context</w:t>
      </w:r>
    </w:p>
    <w:p w:rsidR="5F095408" w:rsidP="556C443F" w:rsidRDefault="5F095408" w14:paraId="0AB36405" w14:textId="0A259BCA">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Aims</w:t>
      </w:r>
    </w:p>
    <w:p w:rsidR="5F095408" w:rsidP="556C443F" w:rsidRDefault="5F095408" w14:paraId="751793D3" w14:textId="1FE8CE93">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Charges</w:t>
      </w:r>
    </w:p>
    <w:p w:rsidR="5F095408" w:rsidP="556C443F" w:rsidRDefault="5F095408" w14:paraId="23C81F77" w14:textId="5509BF5D">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Remissions</w:t>
      </w:r>
    </w:p>
    <w:p w:rsidR="5F095408" w:rsidP="556C443F" w:rsidRDefault="5F095408" w14:paraId="5CF97097" w14:textId="55D1A6BD">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Voluntary Contributions</w:t>
      </w:r>
    </w:p>
    <w:p w:rsidR="5F095408" w:rsidP="556C443F" w:rsidRDefault="5F095408" w14:paraId="369D3544" w14:textId="148BD1C2">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General</w:t>
      </w:r>
    </w:p>
    <w:p w:rsidR="5F095408" w:rsidP="556C443F" w:rsidRDefault="5F095408" w14:paraId="4234F3E4" w14:textId="67C7838E">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Fees</w:t>
      </w:r>
    </w:p>
    <w:p w:rsidR="5F095408" w:rsidP="556C443F" w:rsidRDefault="5F095408" w14:paraId="742BCC8E" w14:textId="08216BE3">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Parent/Carer Groups</w:t>
      </w:r>
    </w:p>
    <w:p w:rsidR="5F095408" w:rsidP="556C443F" w:rsidRDefault="5F095408" w14:paraId="10C9CDEA" w14:textId="56F39E99">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Other Charges That May Be Made by Our School</w:t>
      </w:r>
    </w:p>
    <w:p w:rsidR="5F095408" w:rsidP="556C443F" w:rsidRDefault="5F095408" w14:paraId="075D264C" w14:textId="58F8A777">
      <w:pPr>
        <w:pStyle w:val="ListParagraph"/>
        <w:numPr>
          <w:ilvl w:val="0"/>
          <w:numId w:val="10"/>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RRS – The UN Convention on the Rights of the Child Links</w:t>
      </w:r>
    </w:p>
    <w:p w:rsidR="556C443F" w:rsidP="556C443F" w:rsidRDefault="556C443F" w14:paraId="079448CA" w14:textId="1D225B85">
      <w:pPr>
        <w:spacing w:before="0" w:beforeAutospacing="off" w:after="0" w:afterAutospacing="off" w:line="300" w:lineRule="auto"/>
        <w:rPr>
          <w:rFonts w:ascii="Calibri" w:hAnsi="Calibri" w:eastAsia="Calibri" w:cs="Calibri" w:asciiTheme="majorAscii" w:hAnsiTheme="majorAscii" w:eastAsiaTheme="majorAscii" w:cstheme="majorAscii"/>
          <w:sz w:val="24"/>
          <w:szCs w:val="24"/>
        </w:rPr>
      </w:pPr>
    </w:p>
    <w:p w:rsidR="5F095408" w:rsidP="556C443F" w:rsidRDefault="5F095408" w14:paraId="7F278A80" w14:textId="5FDD9E0C">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t>Rationale</w:t>
      </w:r>
    </w:p>
    <w:p w:rsidR="5F095408" w:rsidP="556C443F" w:rsidRDefault="5F095408" w14:paraId="15581C3F" w14:textId="1575CBAC">
      <w:pPr>
        <w:spacing w:before="21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 xml:space="preserve">The Governing Body of Adderley Nursery School recognizes the valuable contribution that a wide range of </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additional</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 xml:space="preserve"> activities, including trips, clubs, and enrichment opportunities, can make towards children’s education. We aim to promote and provide such activities as part of a broad and balanced curriculum, and as optional extras.</w:t>
      </w:r>
    </w:p>
    <w:p w:rsidR="5F095408" w:rsidP="556C443F" w:rsidRDefault="5F095408" w14:paraId="39CDC982" w14:textId="371C0D4E">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t>Context</w:t>
      </w:r>
    </w:p>
    <w:p w:rsidR="5F095408" w:rsidP="556C443F" w:rsidRDefault="5F095408" w14:paraId="390653C0" w14:textId="7C42CD6D">
      <w:pPr>
        <w:spacing w:before="21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The law states that education provided during school hours must be free. This includes materials, equipment, and transport provided by the Local Authority or the school. No child will be excluded from an activity because their parent/carer is unable or unwilling to contribute.</w:t>
      </w:r>
    </w:p>
    <w:p w:rsidR="5F095408" w:rsidP="556C443F" w:rsidRDefault="5F095408" w14:paraId="7FBCF2A1" w14:textId="11A8A73C">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t>Aims</w:t>
      </w:r>
    </w:p>
    <w:p w:rsidR="5F095408" w:rsidP="556C443F" w:rsidRDefault="5F095408" w14:paraId="6E2A3FDE" w14:textId="2CD78236">
      <w:pPr>
        <w:pStyle w:val="ListParagraph"/>
        <w:numPr>
          <w:ilvl w:val="0"/>
          <w:numId w:val="11"/>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To make school activities accessible to all children regardless of family income.</w:t>
      </w:r>
    </w:p>
    <w:p w:rsidR="5F095408" w:rsidP="556C443F" w:rsidRDefault="5F095408" w14:paraId="5F80412B" w14:textId="188F77CF">
      <w:pPr>
        <w:pStyle w:val="ListParagraph"/>
        <w:numPr>
          <w:ilvl w:val="0"/>
          <w:numId w:val="11"/>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 xml:space="preserve">To provide a fair process that enables activities to take place at </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minimal</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 xml:space="preserve"> cost.</w:t>
      </w:r>
    </w:p>
    <w:p w:rsidR="5F095408" w:rsidP="556C443F" w:rsidRDefault="5F095408" w14:paraId="41FC4068" w14:textId="3A2F50A3">
      <w:pPr>
        <w:pStyle w:val="ListParagraph"/>
        <w:numPr>
          <w:ilvl w:val="0"/>
          <w:numId w:val="11"/>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 xml:space="preserve">To acknowledge the impact of these costs on the school’s </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budget</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w:t>
      </w:r>
    </w:p>
    <w:p w:rsidR="5F095408" w:rsidP="556C443F" w:rsidRDefault="5F095408" w14:paraId="56C7A4CC" w14:textId="278020FD">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t>Charges</w:t>
      </w:r>
    </w:p>
    <w:p w:rsidR="5F095408" w:rsidP="556C443F" w:rsidRDefault="5F095408" w14:paraId="682A59D3" w14:textId="0C0A6706">
      <w:pPr>
        <w:spacing w:before="21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The governing body reserves the right to make a charge in the following circumstances for activities organized by the school:</w:t>
      </w:r>
    </w:p>
    <w:p w:rsidR="5F095408" w:rsidP="556C443F" w:rsidRDefault="5F095408" w14:paraId="04EE87BC" w14:textId="521601FD">
      <w:pPr>
        <w:pStyle w:val="ListParagraph"/>
        <w:numPr>
          <w:ilvl w:val="0"/>
          <w:numId w:val="12"/>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000000" w:themeColor="text1" w:themeTint="FF" w:themeShade="FF"/>
          <w:sz w:val="24"/>
          <w:szCs w:val="24"/>
          <w:lang w:val="en-US"/>
        </w:rPr>
        <w:t>Activities Outside School Hours:</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 xml:space="preserve"> The full cost to each pupil of all approved activities </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deemed</w:t>
      </w:r>
      <w:r w:rsidRPr="556C443F" w:rsidR="5F095408">
        <w:rPr>
          <w:rFonts w:ascii="Calibri" w:hAnsi="Calibri" w:eastAsia="Calibri" w:cs="Calibri" w:asciiTheme="majorAscii" w:hAnsiTheme="majorAscii" w:eastAsiaTheme="majorAscii" w:cstheme="majorAscii"/>
          <w:b w:val="0"/>
          <w:bCs w:val="0"/>
          <w:i w:val="0"/>
          <w:iCs w:val="0"/>
          <w:noProof w:val="0"/>
          <w:color w:val="000000" w:themeColor="text1" w:themeTint="FF" w:themeShade="FF"/>
          <w:sz w:val="24"/>
          <w:szCs w:val="24"/>
          <w:lang w:val="en-US"/>
        </w:rPr>
        <w:t xml:space="preserve"> to be optional extras that are not a necessary part of the national cu</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rriculum.</w:t>
      </w:r>
    </w:p>
    <w:p w:rsidR="5F095408" w:rsidP="556C443F" w:rsidRDefault="5F095408" w14:paraId="1D226B48" w14:textId="34970451">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auto"/>
          <w:sz w:val="24"/>
          <w:szCs w:val="24"/>
          <w:lang w:val="en-US"/>
        </w:rPr>
        <w:t>Remissions</w:t>
      </w:r>
    </w:p>
    <w:p w:rsidR="5F095408" w:rsidP="556C443F" w:rsidRDefault="5F095408" w14:paraId="0B642B5A" w14:textId="0B4C2EAC">
      <w:pPr>
        <w:spacing w:before="21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auto"/>
          <w:sz w:val="24"/>
          <w:szCs w:val="24"/>
          <w:lang w:val="en-US"/>
        </w:rPr>
        <w:t>There is no obligation to make voluntary contributions, and children will not be treated differently based on their parents' ability to contribute. In cases of hardship, parents may apply in confidence for a full or partial remission of charges. The Head Teacher, in consultation with the Chair of Governors, will authorize remissions.</w:t>
      </w:r>
    </w:p>
    <w:p w:rsidR="5F095408" w:rsidP="556C443F" w:rsidRDefault="5F095408" w14:paraId="732B9279" w14:textId="38DA4786">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auto"/>
          <w:sz w:val="24"/>
          <w:szCs w:val="24"/>
          <w:lang w:val="en-US"/>
        </w:rPr>
        <w:t>Voluntary Contributions</w:t>
      </w:r>
    </w:p>
    <w:p w:rsidR="5F095408" w:rsidP="556C443F" w:rsidRDefault="5F095408" w14:paraId="7076DB47" w14:textId="02DB9378">
      <w:pPr>
        <w:spacing w:before="21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Voluntary contributions may be requested to cover costs of:</w:t>
      </w:r>
    </w:p>
    <w:p w:rsidR="5F095408" w:rsidP="556C443F" w:rsidRDefault="5F095408" w14:paraId="7457C968" w14:textId="7A927631">
      <w:pPr>
        <w:pStyle w:val="ListParagraph"/>
        <w:numPr>
          <w:ilvl w:val="0"/>
          <w:numId w:val="13"/>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Materials</w:t>
      </w:r>
    </w:p>
    <w:p w:rsidR="5F095408" w:rsidP="556C443F" w:rsidRDefault="5F095408" w14:paraId="05E6D3E2" w14:textId="3BCB2625">
      <w:pPr>
        <w:pStyle w:val="ListParagraph"/>
        <w:numPr>
          <w:ilvl w:val="0"/>
          <w:numId w:val="13"/>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Bus fares</w:t>
      </w:r>
    </w:p>
    <w:p w:rsidR="5F095408" w:rsidP="556C443F" w:rsidRDefault="5F095408" w14:paraId="54F83FC9" w14:textId="65F9B790">
      <w:pPr>
        <w:pStyle w:val="ListParagraph"/>
        <w:numPr>
          <w:ilvl w:val="0"/>
          <w:numId w:val="13"/>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Entrance fees</w:t>
      </w:r>
    </w:p>
    <w:p w:rsidR="5F095408" w:rsidP="556C443F" w:rsidRDefault="5F095408" w14:paraId="39C18F68" w14:textId="091C0AB2">
      <w:pPr>
        <w:pStyle w:val="ListParagraph"/>
        <w:numPr>
          <w:ilvl w:val="0"/>
          <w:numId w:val="13"/>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Visitors and external workshops</w:t>
      </w:r>
    </w:p>
    <w:p w:rsidR="5F095408" w:rsidP="556C443F" w:rsidRDefault="5F095408" w14:paraId="206AB1F3" w14:textId="39AA7165">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auto"/>
          <w:sz w:val="24"/>
          <w:szCs w:val="24"/>
          <w:lang w:val="en-US"/>
        </w:rPr>
        <w:t>General</w:t>
      </w:r>
    </w:p>
    <w:p w:rsidR="5F095408" w:rsidP="556C443F" w:rsidRDefault="5F095408" w14:paraId="501C116F" w14:textId="5983471C">
      <w:pPr>
        <w:spacing w:before="21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The Governing Body may amend the categories of chargeable activity. Activities will not exclude children if voluntary contributions are not made.</w:t>
      </w:r>
    </w:p>
    <w:p w:rsidR="5F095408" w:rsidP="556C443F" w:rsidRDefault="5F095408" w14:paraId="44427931" w14:textId="3D5F2321">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auto"/>
          <w:sz w:val="24"/>
          <w:szCs w:val="24"/>
          <w:lang w:val="en-US"/>
        </w:rPr>
        <w:t>Fees</w:t>
      </w:r>
    </w:p>
    <w:p w:rsidR="5F095408" w:rsidP="556C443F" w:rsidRDefault="5F095408" w14:paraId="668E0DFE" w14:textId="59FB3F90">
      <w:pPr>
        <w:spacing w:before="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Adderley Nursery School (08:30 – 15:30)</w:t>
      </w:r>
      <w:r>
        <w:br/>
      </w:r>
    </w:p>
    <w:tbl>
      <w:tblPr>
        <w:tblStyle w:val="TableNormal"/>
        <w:tblW w:w="0" w:type="auto"/>
        <w:tblLayout w:type="fixed"/>
        <w:tblLook w:val="06A0" w:firstRow="1" w:lastRow="0" w:firstColumn="1" w:lastColumn="0" w:noHBand="1" w:noVBand="1"/>
      </w:tblPr>
      <w:tblGrid>
        <w:gridCol w:w="1699"/>
        <w:gridCol w:w="1959"/>
      </w:tblGrid>
      <w:tr w:rsidR="556C443F" w:rsidTr="556C443F" w14:paraId="1AF1B05B">
        <w:trPr>
          <w:trHeight w:val="300"/>
        </w:trPr>
        <w:tc>
          <w:tcPr>
            <w:tcW w:w="1699" w:type="dxa"/>
            <w:tcMar/>
            <w:vAlign w:val="center"/>
          </w:tcPr>
          <w:p w:rsidR="556C443F" w:rsidP="556C443F" w:rsidRDefault="556C443F" w14:paraId="7FD39EF0" w14:textId="2C3006BF">
            <w:pPr>
              <w:spacing w:before="0" w:beforeAutospacing="off" w:after="0" w:afterAutospacing="off" w:line="300" w:lineRule="auto"/>
              <w:jc w:val="center"/>
              <w:rPr>
                <w:rFonts w:ascii="Calibri" w:hAnsi="Calibri" w:eastAsia="Calibri" w:cs="Calibri" w:asciiTheme="majorAscii" w:hAnsiTheme="majorAscii" w:eastAsiaTheme="majorAscii" w:cstheme="majorAscii"/>
                <w:b w:val="1"/>
                <w:bCs w:val="1"/>
                <w:sz w:val="24"/>
                <w:szCs w:val="24"/>
              </w:rPr>
            </w:pPr>
            <w:r w:rsidRPr="556C443F" w:rsidR="556C443F">
              <w:rPr>
                <w:rFonts w:ascii="Calibri" w:hAnsi="Calibri" w:eastAsia="Calibri" w:cs="Calibri" w:asciiTheme="majorAscii" w:hAnsiTheme="majorAscii" w:eastAsiaTheme="majorAscii" w:cstheme="majorAscii"/>
                <w:b w:val="1"/>
                <w:bCs w:val="1"/>
                <w:sz w:val="24"/>
                <w:szCs w:val="24"/>
              </w:rPr>
              <w:t>Age Group</w:t>
            </w:r>
          </w:p>
        </w:tc>
        <w:tc>
          <w:tcPr>
            <w:tcW w:w="1959" w:type="dxa"/>
            <w:tcMar/>
            <w:vAlign w:val="center"/>
          </w:tcPr>
          <w:p w:rsidR="556C443F" w:rsidP="556C443F" w:rsidRDefault="556C443F" w14:paraId="2453C6F8" w14:textId="7032E761">
            <w:pPr>
              <w:spacing w:before="0" w:beforeAutospacing="off" w:after="0" w:afterAutospacing="off" w:line="300" w:lineRule="auto"/>
              <w:jc w:val="center"/>
              <w:rPr>
                <w:rFonts w:ascii="Calibri" w:hAnsi="Calibri" w:eastAsia="Calibri" w:cs="Calibri" w:asciiTheme="majorAscii" w:hAnsiTheme="majorAscii" w:eastAsiaTheme="majorAscii" w:cstheme="majorAscii"/>
                <w:b w:val="1"/>
                <w:bCs w:val="1"/>
                <w:sz w:val="24"/>
                <w:szCs w:val="24"/>
              </w:rPr>
            </w:pPr>
            <w:r w:rsidRPr="556C443F" w:rsidR="556C443F">
              <w:rPr>
                <w:rFonts w:ascii="Calibri" w:hAnsi="Calibri" w:eastAsia="Calibri" w:cs="Calibri" w:asciiTheme="majorAscii" w:hAnsiTheme="majorAscii" w:eastAsiaTheme="majorAscii" w:cstheme="majorAscii"/>
                <w:b w:val="1"/>
                <w:bCs w:val="1"/>
                <w:sz w:val="24"/>
                <w:szCs w:val="24"/>
              </w:rPr>
              <w:t>Rate per Hour</w:t>
            </w:r>
          </w:p>
        </w:tc>
      </w:tr>
      <w:tr w:rsidR="556C443F" w:rsidTr="556C443F" w14:paraId="179B4A18">
        <w:trPr>
          <w:trHeight w:val="300"/>
        </w:trPr>
        <w:tc>
          <w:tcPr>
            <w:tcW w:w="1699" w:type="dxa"/>
            <w:tcMar/>
            <w:vAlign w:val="center"/>
          </w:tcPr>
          <w:p w:rsidR="556C443F" w:rsidP="556C443F" w:rsidRDefault="556C443F" w14:paraId="1C1FEA6B" w14:textId="67412D45">
            <w:pPr>
              <w:spacing w:before="0" w:beforeAutospacing="off" w:after="0" w:afterAutospacing="off" w:line="300" w:lineRule="auto"/>
              <w:rPr>
                <w:rFonts w:ascii="Calibri" w:hAnsi="Calibri" w:eastAsia="Calibri" w:cs="Calibri" w:asciiTheme="majorAscii" w:hAnsiTheme="majorAscii" w:eastAsiaTheme="majorAscii" w:cstheme="majorAscii"/>
                <w:sz w:val="24"/>
                <w:szCs w:val="24"/>
              </w:rPr>
            </w:pPr>
            <w:r w:rsidRPr="556C443F" w:rsidR="556C443F">
              <w:rPr>
                <w:rFonts w:ascii="Calibri" w:hAnsi="Calibri" w:eastAsia="Calibri" w:cs="Calibri" w:asciiTheme="majorAscii" w:hAnsiTheme="majorAscii" w:eastAsiaTheme="majorAscii" w:cstheme="majorAscii"/>
                <w:sz w:val="24"/>
                <w:szCs w:val="24"/>
              </w:rPr>
              <w:t>2–</w:t>
            </w:r>
            <w:r w:rsidRPr="556C443F" w:rsidR="556C443F">
              <w:rPr>
                <w:rFonts w:ascii="Calibri" w:hAnsi="Calibri" w:eastAsia="Calibri" w:cs="Calibri" w:asciiTheme="majorAscii" w:hAnsiTheme="majorAscii" w:eastAsiaTheme="majorAscii" w:cstheme="majorAscii"/>
                <w:sz w:val="24"/>
                <w:szCs w:val="24"/>
              </w:rPr>
              <w:t>3 year olds</w:t>
            </w:r>
          </w:p>
        </w:tc>
        <w:tc>
          <w:tcPr>
            <w:tcW w:w="1959" w:type="dxa"/>
            <w:tcMar/>
            <w:vAlign w:val="center"/>
          </w:tcPr>
          <w:p w:rsidR="556C443F" w:rsidP="556C443F" w:rsidRDefault="556C443F" w14:paraId="20C73CBA" w14:textId="290FAE4E">
            <w:pPr>
              <w:spacing w:before="0" w:beforeAutospacing="off" w:after="0" w:afterAutospacing="off" w:line="300" w:lineRule="auto"/>
              <w:rPr>
                <w:rFonts w:ascii="Calibri" w:hAnsi="Calibri" w:eastAsia="Calibri" w:cs="Calibri" w:asciiTheme="majorAscii" w:hAnsiTheme="majorAscii" w:eastAsiaTheme="majorAscii" w:cstheme="majorAscii"/>
                <w:sz w:val="24"/>
                <w:szCs w:val="24"/>
              </w:rPr>
            </w:pPr>
            <w:r w:rsidRPr="556C443F" w:rsidR="556C443F">
              <w:rPr>
                <w:rFonts w:ascii="Calibri" w:hAnsi="Calibri" w:eastAsia="Calibri" w:cs="Calibri" w:asciiTheme="majorAscii" w:hAnsiTheme="majorAscii" w:eastAsiaTheme="majorAscii" w:cstheme="majorAscii"/>
                <w:sz w:val="24"/>
                <w:szCs w:val="24"/>
              </w:rPr>
              <w:t>£6.00</w:t>
            </w:r>
          </w:p>
        </w:tc>
      </w:tr>
      <w:tr w:rsidR="556C443F" w:rsidTr="556C443F" w14:paraId="5CE4C7A3">
        <w:trPr>
          <w:trHeight w:val="300"/>
        </w:trPr>
        <w:tc>
          <w:tcPr>
            <w:tcW w:w="1699" w:type="dxa"/>
            <w:tcMar/>
            <w:vAlign w:val="center"/>
          </w:tcPr>
          <w:p w:rsidR="556C443F" w:rsidP="556C443F" w:rsidRDefault="556C443F" w14:paraId="5231570C" w14:textId="52A44061">
            <w:pPr>
              <w:spacing w:before="0" w:beforeAutospacing="off" w:after="0" w:afterAutospacing="off" w:line="300" w:lineRule="auto"/>
              <w:rPr>
                <w:rFonts w:ascii="Calibri" w:hAnsi="Calibri" w:eastAsia="Calibri" w:cs="Calibri" w:asciiTheme="majorAscii" w:hAnsiTheme="majorAscii" w:eastAsiaTheme="majorAscii" w:cstheme="majorAscii"/>
                <w:sz w:val="24"/>
                <w:szCs w:val="24"/>
              </w:rPr>
            </w:pPr>
            <w:r w:rsidRPr="556C443F" w:rsidR="556C443F">
              <w:rPr>
                <w:rFonts w:ascii="Calibri" w:hAnsi="Calibri" w:eastAsia="Calibri" w:cs="Calibri" w:asciiTheme="majorAscii" w:hAnsiTheme="majorAscii" w:eastAsiaTheme="majorAscii" w:cstheme="majorAscii"/>
                <w:sz w:val="24"/>
                <w:szCs w:val="24"/>
              </w:rPr>
              <w:t>3–</w:t>
            </w:r>
            <w:r w:rsidRPr="556C443F" w:rsidR="556C443F">
              <w:rPr>
                <w:rFonts w:ascii="Calibri" w:hAnsi="Calibri" w:eastAsia="Calibri" w:cs="Calibri" w:asciiTheme="majorAscii" w:hAnsiTheme="majorAscii" w:eastAsiaTheme="majorAscii" w:cstheme="majorAscii"/>
                <w:sz w:val="24"/>
                <w:szCs w:val="24"/>
              </w:rPr>
              <w:t>4 year olds</w:t>
            </w:r>
          </w:p>
        </w:tc>
        <w:tc>
          <w:tcPr>
            <w:tcW w:w="1959" w:type="dxa"/>
            <w:tcMar/>
            <w:vAlign w:val="center"/>
          </w:tcPr>
          <w:p w:rsidR="556C443F" w:rsidP="556C443F" w:rsidRDefault="556C443F" w14:paraId="70E5354B" w14:textId="680A0BE6">
            <w:pPr>
              <w:spacing w:before="0" w:beforeAutospacing="off" w:after="0" w:afterAutospacing="off" w:line="300" w:lineRule="auto"/>
              <w:rPr>
                <w:rFonts w:ascii="Calibri" w:hAnsi="Calibri" w:eastAsia="Calibri" w:cs="Calibri" w:asciiTheme="majorAscii" w:hAnsiTheme="majorAscii" w:eastAsiaTheme="majorAscii" w:cstheme="majorAscii"/>
                <w:sz w:val="24"/>
                <w:szCs w:val="24"/>
              </w:rPr>
            </w:pPr>
            <w:r w:rsidRPr="556C443F" w:rsidR="556C443F">
              <w:rPr>
                <w:rFonts w:ascii="Calibri" w:hAnsi="Calibri" w:eastAsia="Calibri" w:cs="Calibri" w:asciiTheme="majorAscii" w:hAnsiTheme="majorAscii" w:eastAsiaTheme="majorAscii" w:cstheme="majorAscii"/>
                <w:sz w:val="24"/>
                <w:szCs w:val="24"/>
              </w:rPr>
              <w:t>£6.00</w:t>
            </w:r>
          </w:p>
        </w:tc>
      </w:tr>
    </w:tbl>
    <w:p w:rsidR="5F095408" w:rsidP="556C443F" w:rsidRDefault="5F095408" w14:paraId="39BDDE0F" w14:textId="4D9A3A76">
      <w:pPr>
        <w:spacing w:before="210" w:beforeAutospacing="off" w:after="21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*3–</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4 year old</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 xml:space="preserve"> rates apply from the term following a child’s third birthday, in line with Local Authority funding.</w:t>
      </w:r>
    </w:p>
    <w:p w:rsidR="5F095408" w:rsidP="556C443F" w:rsidRDefault="5F095408" w14:paraId="0C80AD18" w14:textId="137E0D3D">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auto"/>
          <w:sz w:val="24"/>
          <w:szCs w:val="24"/>
          <w:lang w:val="en-US"/>
        </w:rPr>
        <w:t>Other Charges That May Be Made</w:t>
      </w:r>
    </w:p>
    <w:p w:rsidR="5F095408" w:rsidP="556C443F" w:rsidRDefault="5F095408" w14:paraId="7A2F5DBE" w14:textId="2F922FDD">
      <w:pPr>
        <w:pStyle w:val="ListParagraph"/>
        <w:numPr>
          <w:ilvl w:val="0"/>
          <w:numId w:val="14"/>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auto"/>
          <w:sz w:val="24"/>
          <w:szCs w:val="24"/>
          <w:lang w:val="en-US"/>
        </w:rPr>
        <w:t>Two-year-old provision</w:t>
      </w:r>
    </w:p>
    <w:p w:rsidR="5F095408" w:rsidP="556C443F" w:rsidRDefault="5F095408" w14:paraId="4CBDCB60" w14:textId="0B64E7C5">
      <w:pPr>
        <w:pStyle w:val="ListParagraph"/>
        <w:numPr>
          <w:ilvl w:val="0"/>
          <w:numId w:val="14"/>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auto"/>
          <w:sz w:val="24"/>
          <w:szCs w:val="24"/>
          <w:lang w:val="en-US"/>
        </w:rPr>
        <w:t>Out of School Club</w:t>
      </w:r>
    </w:p>
    <w:p w:rsidR="5F095408" w:rsidP="556C443F" w:rsidRDefault="5F095408" w14:paraId="61B272CB" w14:textId="278A88AA">
      <w:pPr>
        <w:pStyle w:val="ListParagraph"/>
        <w:numPr>
          <w:ilvl w:val="0"/>
          <w:numId w:val="14"/>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auto"/>
          <w:sz w:val="24"/>
          <w:szCs w:val="24"/>
          <w:lang w:val="en-US"/>
        </w:rPr>
        <w:t>Holiday Club</w:t>
      </w:r>
    </w:p>
    <w:p w:rsidR="5F095408" w:rsidP="556C443F" w:rsidRDefault="5F095408" w14:paraId="5567EFAD" w14:textId="71F7B5A0">
      <w:pPr>
        <w:pStyle w:val="ListParagraph"/>
        <w:numPr>
          <w:ilvl w:val="0"/>
          <w:numId w:val="14"/>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auto"/>
          <w:sz w:val="24"/>
          <w:szCs w:val="24"/>
          <w:lang w:val="en-US"/>
        </w:rPr>
        <w:t>Top-up hours (beyond free entitlement)</w:t>
      </w:r>
    </w:p>
    <w:p w:rsidR="5F095408" w:rsidP="556C443F" w:rsidRDefault="5F095408" w14:paraId="4043470B" w14:textId="319A45C1">
      <w:pPr>
        <w:pStyle w:val="ListParagraph"/>
        <w:numPr>
          <w:ilvl w:val="0"/>
          <w:numId w:val="14"/>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auto"/>
          <w:sz w:val="24"/>
          <w:szCs w:val="24"/>
          <w:lang w:val="en-US"/>
        </w:rPr>
        <w:t>Parent groups/classes</w:t>
      </w:r>
    </w:p>
    <w:p w:rsidR="5F095408" w:rsidP="556C443F" w:rsidRDefault="5F095408" w14:paraId="14AB509C" w14:textId="57B61A91">
      <w:pPr>
        <w:pStyle w:val="ListParagraph"/>
        <w:numPr>
          <w:ilvl w:val="0"/>
          <w:numId w:val="14"/>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auto"/>
          <w:sz w:val="24"/>
          <w:szCs w:val="24"/>
          <w:lang w:val="en-US"/>
        </w:rPr>
        <w:t>Training provided by the school</w:t>
      </w:r>
    </w:p>
    <w:p w:rsidR="5F095408" w:rsidP="556C443F" w:rsidRDefault="5F095408" w14:paraId="467278EC" w14:textId="71868382">
      <w:pPr>
        <w:pStyle w:val="ListParagraph"/>
        <w:numPr>
          <w:ilvl w:val="0"/>
          <w:numId w:val="14"/>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0"/>
          <w:bCs w:val="0"/>
          <w:i w:val="0"/>
          <w:iCs w:val="0"/>
          <w:noProof w:val="0"/>
          <w:color w:val="auto"/>
          <w:sz w:val="24"/>
          <w:szCs w:val="24"/>
          <w:lang w:val="en-US"/>
        </w:rPr>
        <w:t>Room hire/bookings</w:t>
      </w:r>
    </w:p>
    <w:p w:rsidR="5F095408" w:rsidP="556C443F" w:rsidRDefault="5F095408" w14:paraId="04255A6F" w14:textId="21C0D2D2">
      <w:pPr>
        <w:pStyle w:val="Heading3"/>
        <w:spacing w:before="246" w:beforeAutospacing="off" w:after="246" w:afterAutospacing="off" w:line="300" w:lineRule="auto"/>
        <w:rPr>
          <w:rFonts w:ascii="Calibri" w:hAnsi="Calibri" w:eastAsia="Calibri" w:cs="Calibri" w:asciiTheme="majorAscii" w:hAnsiTheme="majorAscii" w:eastAsiaTheme="majorAscii" w:cstheme="majorAscii"/>
          <w:b w:val="1"/>
          <w:bCs w:val="1"/>
          <w:i w:val="0"/>
          <w:iCs w:val="0"/>
          <w:noProof w:val="0"/>
          <w:color w:val="auto"/>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color w:val="auto"/>
          <w:sz w:val="24"/>
          <w:szCs w:val="24"/>
          <w:lang w:val="en-US"/>
        </w:rPr>
        <w:t>RRS – The UN Convention on the Rights of the Child Links</w:t>
      </w:r>
    </w:p>
    <w:p w:rsidR="5F095408" w:rsidP="556C443F" w:rsidRDefault="5F095408" w14:paraId="3EC6477D" w14:textId="1E595AD0">
      <w:pPr>
        <w:pStyle w:val="ListParagraph"/>
        <w:numPr>
          <w:ilvl w:val="0"/>
          <w:numId w:val="15"/>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Article 2 (non-discrimination):</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 xml:space="preserve"> The Convention applies to every child without discrimination.</w:t>
      </w:r>
    </w:p>
    <w:p w:rsidR="5F095408" w:rsidP="556C443F" w:rsidRDefault="5F095408" w14:paraId="0A34DEBF" w14:textId="4E1DD46F">
      <w:pPr>
        <w:pStyle w:val="ListParagraph"/>
        <w:numPr>
          <w:ilvl w:val="0"/>
          <w:numId w:val="15"/>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Article 3 (best interests of the child):</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 xml:space="preserve"> The best interests of the child must be a top priority in all decisions and actions that affect children.</w:t>
      </w:r>
    </w:p>
    <w:p w:rsidR="5F095408" w:rsidP="556C443F" w:rsidRDefault="5F095408" w14:paraId="7D7DDAD5" w14:textId="73B46B10">
      <w:pPr>
        <w:pStyle w:val="ListParagraph"/>
        <w:numPr>
          <w:ilvl w:val="0"/>
          <w:numId w:val="15"/>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Article 23 (children with a disability):</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 xml:space="preserve"> A child with a disability has the right to live a full and decent life with dignity and independence.</w:t>
      </w:r>
    </w:p>
    <w:p w:rsidR="5F095408" w:rsidP="556C443F" w:rsidRDefault="5F095408" w14:paraId="407CCAF4" w14:textId="07951924">
      <w:pPr>
        <w:pStyle w:val="ListParagraph"/>
        <w:numPr>
          <w:ilvl w:val="0"/>
          <w:numId w:val="15"/>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Article 28 (right to education):</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 xml:space="preserve"> Every child has the right to an education.</w:t>
      </w:r>
    </w:p>
    <w:p w:rsidR="5F095408" w:rsidP="556C443F" w:rsidRDefault="5F095408" w14:paraId="24E99429" w14:textId="65685B9F">
      <w:pPr>
        <w:pStyle w:val="ListParagraph"/>
        <w:numPr>
          <w:ilvl w:val="0"/>
          <w:numId w:val="15"/>
        </w:num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4"/>
          <w:szCs w:val="24"/>
          <w:lang w:val="en-US"/>
        </w:rPr>
      </w:pPr>
      <w:r w:rsidRPr="556C443F" w:rsidR="5F095408">
        <w:rPr>
          <w:rFonts w:ascii="Calibri" w:hAnsi="Calibri" w:eastAsia="Calibri" w:cs="Calibri" w:asciiTheme="majorAscii" w:hAnsiTheme="majorAscii" w:eastAsiaTheme="majorAscii" w:cstheme="majorAscii"/>
          <w:b w:val="1"/>
          <w:bCs w:val="1"/>
          <w:i w:val="0"/>
          <w:iCs w:val="0"/>
          <w:noProof w:val="0"/>
          <w:sz w:val="24"/>
          <w:szCs w:val="24"/>
          <w:lang w:val="en-US"/>
        </w:rPr>
        <w:t>Article 31 (leisure, play, and culture):</w:t>
      </w:r>
      <w:r w:rsidRPr="556C443F" w:rsidR="5F095408">
        <w:rPr>
          <w:rFonts w:ascii="Calibri" w:hAnsi="Calibri" w:eastAsia="Calibri" w:cs="Calibri" w:asciiTheme="majorAscii" w:hAnsiTheme="majorAscii" w:eastAsiaTheme="majorAscii" w:cstheme="majorAscii"/>
          <w:b w:val="0"/>
          <w:bCs w:val="0"/>
          <w:i w:val="0"/>
          <w:iCs w:val="0"/>
          <w:noProof w:val="0"/>
          <w:sz w:val="24"/>
          <w:szCs w:val="24"/>
          <w:lang w:val="en-US"/>
        </w:rPr>
        <w:t xml:space="preserve"> Every child has the right to relax, play, and take part in a wide range of cultural and artistic activities.</w:t>
      </w:r>
    </w:p>
    <w:p w:rsidR="556C443F" w:rsidP="556C443F" w:rsidRDefault="556C443F" w14:paraId="51A0DA88" w14:textId="4F2FE8F8">
      <w:pPr>
        <w:spacing w:before="0" w:beforeAutospacing="off" w:after="0" w:afterAutospacing="off" w:line="300" w:lineRule="auto"/>
      </w:pPr>
    </w:p>
    <w:p w:rsidR="556C443F" w:rsidP="556C443F" w:rsidRDefault="556C443F" w14:paraId="6DC990A1" w14:textId="4EDDD4E2">
      <w:pPr>
        <w:pStyle w:val="Normal"/>
      </w:pP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4">
    <w:nsid w:val="32b27d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33b0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fbf31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14ae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6fda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16886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852005"/>
    <w:rsid w:val="0D973684"/>
    <w:rsid w:val="0D973684"/>
    <w:rsid w:val="0EDDC05D"/>
    <w:rsid w:val="0F541C6C"/>
    <w:rsid w:val="13E0ADCD"/>
    <w:rsid w:val="1A9F378B"/>
    <w:rsid w:val="1A9F378B"/>
    <w:rsid w:val="1B157C73"/>
    <w:rsid w:val="1E5C29E2"/>
    <w:rsid w:val="2362D00D"/>
    <w:rsid w:val="2BEC9DB6"/>
    <w:rsid w:val="341ABC7A"/>
    <w:rsid w:val="3B312B58"/>
    <w:rsid w:val="3E6C299E"/>
    <w:rsid w:val="3E8A9E37"/>
    <w:rsid w:val="447DFBF1"/>
    <w:rsid w:val="48D973B3"/>
    <w:rsid w:val="48D973B3"/>
    <w:rsid w:val="4F23BB21"/>
    <w:rsid w:val="505C185C"/>
    <w:rsid w:val="556C443F"/>
    <w:rsid w:val="55C0BD35"/>
    <w:rsid w:val="5F095408"/>
    <w:rsid w:val="649853F4"/>
    <w:rsid w:val="649853F4"/>
    <w:rsid w:val="738FD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1DAA7B72-3730-4B9C-BDF2-1AD15ECF25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image" Target="/media/image2.png" Id="Rf2928ef9e49f4389" /><Relationship Type="http://schemas.openxmlformats.org/officeDocument/2006/relationships/image" Target="/media/image3.png" Id="R0488d1609a7842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 Hinchliff (addleyn)</lastModifiedBy>
  <revision>3</revision>
  <dcterms:created xsi:type="dcterms:W3CDTF">2013-12-23T23:15:00.0000000Z</dcterms:created>
  <dcterms:modified xsi:type="dcterms:W3CDTF">2025-06-04T13:58:27.8144032Z</dcterms:modified>
  <category/>
</coreProperties>
</file>